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both"/>
        <w:rPr>
          <w:rFonts w:ascii="仿宋" w:hAnsi="仿宋" w:eastAsia="仿宋" w:cs="仿宋"/>
          <w:i w:val="0"/>
          <w:caps w:val="0"/>
          <w:color w:val="000000"/>
          <w:spacing w:val="0"/>
          <w:sz w:val="21"/>
          <w:szCs w:val="21"/>
          <w:shd w:val="clear" w:color="auto" w:fill="FBFDFF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正高级工程师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人，按姓氏笔画排序：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马  威、王怀武、东旭光、印艳春、齐智刚、杨  波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  翠、张冬梅、常  鹤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高级工程师28人，按姓氏笔画排序：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  浩、王文成、王现伟、王晓昕、王浩年、史家亮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吕海涛、朱清华、刘  洋、刘冰婷、刘述岩、关迎宾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孙琳琳、李  琼、肖  斌、佟力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颖、邹昭阳、沈  月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  杰、张多志、邵永新、苗遥遥、周东方、赵  建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赵  雷、高  华、韩  琳、鲍  齐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F34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5DF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2021-01-04T09:21:28Z</dcterms:created>
  <dc:creator>admin</dc:creator>
  <cp:lastModifiedBy>杨雪松(稿件发布)</cp:lastModifiedBy>
  <dcterms:modified xsi:type="dcterms:W3CDTF">2021-01-04T09:21:36Z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